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 xml:space="preserve"> Choosing the Best Personal Finance Management App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11/4/2025 8:51:11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4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88"/>
        <w:gridCol w:w="5722"/>
        <w:gridCol w:w="1256"/>
        <w:gridCol w:w="167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Data security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Usability and user interface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Reporting features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Subscription cost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-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Compatibility with other apps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37"/>
        <w:gridCol w:w="1151"/>
        <w:gridCol w:w="2191"/>
        <w:gridCol w:w="1559"/>
        <w:gridCol w:w="1441"/>
        <w:gridCol w:w="23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Data security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Usability and user interface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Reporting features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Subscription cost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Compatibility with other apps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37"/>
        <w:gridCol w:w="1151"/>
        <w:gridCol w:w="2191"/>
        <w:gridCol w:w="1559"/>
        <w:gridCol w:w="1441"/>
        <w:gridCol w:w="23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Data security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Usability and user interface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Reporting features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Subscription cost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Compatibility with other apps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0.577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0.615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0.808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0.577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0.544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0.577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0.739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0.192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0.408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0.462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0.462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0.192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0.77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37"/>
        <w:gridCol w:w="1151"/>
        <w:gridCol w:w="2191"/>
        <w:gridCol w:w="1559"/>
        <w:gridCol w:w="1441"/>
        <w:gridCol w:w="23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Data security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Usability and user interface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Reporting features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Subscription cost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Compatibility with other apps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0.077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641"/>
        <w:gridCol w:w="2274"/>
        <w:gridCol w:w="242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Data security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Usability and user interface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Reporting features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Subscription cost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Compatibility with other apps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0.019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56"/>
        <w:gridCol w:w="3989"/>
        <w:gridCol w:w="409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0.256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0.173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0.152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385"/>
        <w:gridCol w:w="3203"/>
        <w:gridCol w:w="275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0.784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0.371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0.467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67451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App A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0.437</c:v>
              </c:pt>
            </c:numLit>
          </c:val>
        </c:ser>
        <c:ser>
          <c:idx val="1"/>
          <c:order val="1"/>
          <c:tx>
            <c:v>App B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0.784</c:v>
              </c:pt>
            </c:numLit>
          </c:val>
        </c:ser>
        <c:ser>
          <c:idx val="2"/>
          <c:order val="2"/>
          <c:tx>
            <c:v>App C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0.371</c:v>
              </c:pt>
            </c:numLit>
          </c:val>
        </c:ser>
        <c:ser>
          <c:idx val="3"/>
          <c:order val="3"/>
          <c:tx>
            <c:v>App D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0.467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