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City for Real Estate Investment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11/9/2025 8:43:21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4"/>
        <w:gridCol w:w="6321"/>
        <w:gridCol w:w="1048"/>
        <w:gridCol w:w="139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92"/>
        <w:gridCol w:w="1959"/>
        <w:gridCol w:w="208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49"/>
        <w:gridCol w:w="3992"/>
        <w:gridCol w:w="40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72"/>
        <w:gridCol w:w="3210"/>
        <w:gridCol w:w="27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118148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City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0.758</c:v>
              </c:pt>
            </c:numLit>
          </c:val>
        </c:ser>
        <c:ser>
          <c:idx val="1"/>
          <c:order val="1"/>
          <c:tx>
            <c:v>City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0.681</c:v>
              </c:pt>
            </c:numLit>
          </c:val>
        </c:ser>
        <c:ser>
          <c:idx val="2"/>
          <c:order val="2"/>
          <c:tx>
            <c:v>City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0.478</c:v>
              </c:pt>
            </c:numLit>
          </c:val>
        </c:ser>
        <c:ser>
          <c:idx val="3"/>
          <c:order val="3"/>
          <c:tx>
            <c:v>City Q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0.316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