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University for a Master’s Degree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11/16/2025 8:14:40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0"/>
        <w:gridCol w:w="6341"/>
        <w:gridCol w:w="1041"/>
        <w:gridCol w:w="13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0.548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15"/>
        <w:gridCol w:w="1948"/>
        <w:gridCol w:w="207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9"/>
        <w:gridCol w:w="3647"/>
        <w:gridCol w:w="37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0.219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8"/>
        <w:gridCol w:w="2556"/>
        <w:gridCol w:w="21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0.896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40519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University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0.332</c:v>
              </c:pt>
            </c:numLit>
          </c:val>
        </c:ser>
        <c:ser>
          <c:idx val="1"/>
          <c:order val="1"/>
          <c:tx>
            <c:v>University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0.445</c:v>
              </c:pt>
            </c:numLit>
          </c:val>
        </c:ser>
        <c:ser>
          <c:idx val="2"/>
          <c:order val="2"/>
          <c:tx>
            <c:v>University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0.896</c:v>
              </c:pt>
            </c:numLit>
          </c:val>
        </c:ser>
        <c:ser>
          <c:idx val="3"/>
          <c:order val="3"/>
          <c:tx>
            <c:v>University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0.577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