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NPD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9/9/2024 4:42:47 AM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0.115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0.168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23"/>
        <w:gridCol w:w="1740"/>
        <w:gridCol w:w="1740"/>
        <w:gridCol w:w="1740"/>
        <w:gridCol w:w="18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1.708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1.369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3.122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-0.384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1.835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2.032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-1.637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2.441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COLLB is ranked in first place and ABSCAP, TECHL, STFLX and LDRS,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LDRS, STFLX, ABSCAP are considered to be as a causal variable, COLLB, TECHL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948740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LDRS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1.559</c:v>
              </c:pt>
            </c:numLit>
          </c:xVal>
          <c:yVal>
            <c:numLit>
              <c:ptCount val="1"/>
              <c:pt idx="0" formatCode="General">
                <c:v>1.217</c:v>
              </c:pt>
            </c:numLit>
          </c:yVal>
          <c:smooth val="0"/>
        </c:ser>
        <c:ser>
          <c:idx val="1"/>
          <c:order val="1"/>
          <c:tx>
            <c:v>STFLX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1.708</c:v>
              </c:pt>
            </c:numLit>
          </c:xVal>
          <c:yVal>
            <c:numLit>
              <c:ptCount val="1"/>
              <c:pt idx="0" formatCode="General">
                <c:v>0.469</c:v>
              </c:pt>
            </c:numLit>
          </c:yVal>
          <c:smooth val="0"/>
        </c:ser>
        <c:ser>
          <c:idx val="2"/>
          <c:order val="2"/>
          <c:tx>
            <c:v>COLLB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3.122</c:v>
              </c:pt>
            </c:numLit>
          </c:xVal>
          <c:yVal>
            <c:numLit>
              <c:ptCount val="1"/>
              <c:pt idx="0" formatCode="General">
                <c:v>-0.384</c:v>
              </c:pt>
            </c:numLit>
          </c:yVal>
          <c:smooth val="0"/>
        </c:ser>
        <c:ser>
          <c:idx val="3"/>
          <c:order val="3"/>
          <c:tx>
            <c:v>TECHL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2.032</c:v>
              </c:pt>
            </c:numLit>
          </c:xVal>
          <c:yVal>
            <c:numLit>
              <c:ptCount val="1"/>
              <c:pt idx="0" formatCode="General">
                <c:v>-1.637</c:v>
              </c:pt>
            </c:numLit>
          </c:yVal>
          <c:smooth val="0"/>
        </c:ser>
        <c:ser>
          <c:idx val="4"/>
          <c:order val="4"/>
          <c:tx>
            <c:v>ABSCAP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2.441</c:v>
              </c:pt>
            </c:numLit>
          </c:xVal>
          <c:yVal>
            <c:numLit>
              <c:ptCount val="1"/>
              <c:pt idx="0" formatCode="General">
                <c:v>0.335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